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8D2" w:rsidRPr="001448D2" w:rsidRDefault="001448D2" w:rsidP="001448D2">
      <w:pPr>
        <w:pStyle w:val="a8"/>
      </w:pPr>
      <w:r w:rsidRPr="001448D2">
        <w:t>Earthing system</w:t>
      </w:r>
    </w:p>
    <w:p w:rsidR="001448D2" w:rsidRPr="001448D2" w:rsidRDefault="001448D2" w:rsidP="001448D2">
      <w:pPr>
        <w:pStyle w:val="Web"/>
        <w:rPr>
          <w:rFonts w:ascii="Arial" w:hAnsi="Arial" w:cs="Arial"/>
        </w:rPr>
      </w:pPr>
      <w:hyperlink r:id="rId8" w:tooltip="International standard" w:history="1">
        <w:r w:rsidRPr="001448D2">
          <w:rPr>
            <w:rFonts w:ascii="Arial" w:hAnsi="Arial" w:cs="Arial"/>
            <w:color w:val="0000FF"/>
            <w:u w:val="single"/>
          </w:rPr>
          <w:t>International standard</w:t>
        </w:r>
      </w:hyperlink>
      <w:r w:rsidRPr="001448D2">
        <w:rPr>
          <w:rFonts w:ascii="Arial" w:hAnsi="Arial" w:cs="Arial"/>
        </w:rPr>
        <w:t xml:space="preserve"> </w:t>
      </w:r>
      <w:hyperlink r:id="rId9" w:tooltip="IEC 60364" w:history="1">
        <w:r w:rsidRPr="001448D2">
          <w:rPr>
            <w:rFonts w:ascii="Arial" w:hAnsi="Arial" w:cs="Arial"/>
            <w:color w:val="0000FF"/>
            <w:u w:val="single"/>
          </w:rPr>
          <w:t>IEC 60364</w:t>
        </w:r>
      </w:hyperlink>
      <w:r w:rsidRPr="001448D2">
        <w:rPr>
          <w:rFonts w:ascii="Arial" w:hAnsi="Arial" w:cs="Arial"/>
        </w:rPr>
        <w:t xml:space="preserve"> distinguishes three families of earthing arrangements, using the two-letter codes </w:t>
      </w:r>
      <w:r w:rsidRPr="001448D2">
        <w:rPr>
          <w:rFonts w:ascii="Arial" w:hAnsi="Arial" w:cs="Arial"/>
          <w:b/>
          <w:bCs/>
        </w:rPr>
        <w:t>TN</w:t>
      </w:r>
      <w:r w:rsidRPr="001448D2">
        <w:rPr>
          <w:rFonts w:ascii="Arial" w:hAnsi="Arial" w:cs="Arial"/>
        </w:rPr>
        <w:t xml:space="preserve">, </w:t>
      </w:r>
      <w:r w:rsidRPr="001448D2">
        <w:rPr>
          <w:rFonts w:ascii="Arial" w:hAnsi="Arial" w:cs="Arial"/>
          <w:b/>
          <w:bCs/>
        </w:rPr>
        <w:t>TT</w:t>
      </w:r>
      <w:r w:rsidRPr="001448D2">
        <w:rPr>
          <w:rFonts w:ascii="Arial" w:hAnsi="Arial" w:cs="Arial"/>
        </w:rPr>
        <w:t xml:space="preserve">, and </w:t>
      </w:r>
      <w:r w:rsidRPr="001448D2">
        <w:rPr>
          <w:rFonts w:ascii="Arial" w:hAnsi="Arial" w:cs="Arial"/>
          <w:b/>
          <w:bCs/>
        </w:rPr>
        <w:t>IT</w:t>
      </w:r>
      <w:r w:rsidRPr="001448D2">
        <w:rPr>
          <w:rFonts w:ascii="Arial" w:hAnsi="Arial" w:cs="Arial"/>
        </w:rPr>
        <w:t>.</w:t>
      </w:r>
    </w:p>
    <w:p w:rsidR="001448D2" w:rsidRPr="001448D2" w:rsidRDefault="001448D2" w:rsidP="001448D2">
      <w:pPr>
        <w:spacing w:before="100" w:beforeAutospacing="1" w:after="100" w:afterAutospacing="1"/>
        <w:rPr>
          <w:rFonts w:ascii="Arial" w:eastAsia="新細明體" w:hAnsi="Arial" w:cs="Arial"/>
          <w:sz w:val="24"/>
          <w:szCs w:val="24"/>
        </w:rPr>
      </w:pPr>
      <w:r w:rsidRPr="001448D2">
        <w:rPr>
          <w:rFonts w:ascii="Arial" w:eastAsia="新細明體" w:hAnsi="Arial" w:cs="Arial"/>
          <w:sz w:val="24"/>
          <w:szCs w:val="24"/>
        </w:rPr>
        <w:t>The</w:t>
      </w:r>
      <w:r w:rsidRPr="001448D2">
        <w:rPr>
          <w:rFonts w:ascii="Arial" w:eastAsia="新細明體" w:hAnsi="Arial" w:cs="Arial"/>
          <w:b/>
          <w:sz w:val="24"/>
          <w:szCs w:val="24"/>
        </w:rPr>
        <w:t xml:space="preserve"> first letter </w:t>
      </w:r>
      <w:r w:rsidRPr="001448D2">
        <w:rPr>
          <w:rFonts w:ascii="Arial" w:eastAsia="新細明體" w:hAnsi="Arial" w:cs="Arial"/>
          <w:sz w:val="24"/>
          <w:szCs w:val="24"/>
        </w:rPr>
        <w:t xml:space="preserve">indicates the connection between </w:t>
      </w:r>
      <w:hyperlink r:id="rId10" w:tooltip="Ground (electricity)" w:history="1">
        <w:r w:rsidRPr="001448D2">
          <w:rPr>
            <w:rFonts w:ascii="Arial" w:eastAsia="新細明體" w:hAnsi="Arial" w:cs="Arial"/>
            <w:color w:val="0000FF"/>
            <w:sz w:val="24"/>
            <w:szCs w:val="24"/>
            <w:u w:val="single"/>
          </w:rPr>
          <w:t>earth</w:t>
        </w:r>
      </w:hyperlink>
      <w:r w:rsidRPr="001448D2">
        <w:rPr>
          <w:rFonts w:ascii="Arial" w:eastAsia="新細明體" w:hAnsi="Arial" w:cs="Arial"/>
          <w:sz w:val="24"/>
          <w:szCs w:val="24"/>
        </w:rPr>
        <w:t xml:space="preserve"> and the power-supply equipment (generator or transformer):</w:t>
      </w:r>
    </w:p>
    <w:p w:rsidR="001448D2" w:rsidRPr="001448D2" w:rsidRDefault="001448D2" w:rsidP="001448D2">
      <w:pPr>
        <w:rPr>
          <w:rFonts w:ascii="Arial" w:eastAsia="新細明體" w:hAnsi="Arial" w:cs="Arial"/>
          <w:sz w:val="24"/>
          <w:szCs w:val="24"/>
        </w:rPr>
      </w:pPr>
      <w:r w:rsidRPr="001448D2">
        <w:rPr>
          <w:rFonts w:ascii="Arial" w:eastAsia="新細明體" w:hAnsi="Arial" w:cs="Arial"/>
          <w:sz w:val="24"/>
          <w:szCs w:val="24"/>
        </w:rPr>
        <w:t>T</w:t>
      </w:r>
    </w:p>
    <w:p w:rsidR="001448D2" w:rsidRPr="001448D2" w:rsidRDefault="001448D2" w:rsidP="001448D2">
      <w:pPr>
        <w:ind w:left="720"/>
        <w:rPr>
          <w:rFonts w:ascii="Arial" w:eastAsia="新細明體" w:hAnsi="Arial" w:cs="Arial"/>
          <w:sz w:val="24"/>
          <w:szCs w:val="24"/>
        </w:rPr>
      </w:pPr>
      <w:r w:rsidRPr="001448D2">
        <w:rPr>
          <w:rFonts w:ascii="Arial" w:eastAsia="新細明體" w:hAnsi="Arial" w:cs="Arial"/>
          <w:sz w:val="24"/>
          <w:szCs w:val="24"/>
        </w:rPr>
        <w:t>Direct connection of a point with earth (Latin: terra);</w:t>
      </w:r>
    </w:p>
    <w:p w:rsidR="001448D2" w:rsidRPr="001448D2" w:rsidRDefault="001448D2" w:rsidP="001448D2">
      <w:pPr>
        <w:rPr>
          <w:rFonts w:ascii="Arial" w:eastAsia="新細明體" w:hAnsi="Arial" w:cs="Arial"/>
          <w:sz w:val="24"/>
          <w:szCs w:val="24"/>
        </w:rPr>
      </w:pPr>
      <w:r w:rsidRPr="001448D2">
        <w:rPr>
          <w:rFonts w:ascii="Arial" w:eastAsia="新細明體" w:hAnsi="Arial" w:cs="Arial"/>
          <w:sz w:val="24"/>
          <w:szCs w:val="24"/>
        </w:rPr>
        <w:t>I</w:t>
      </w:r>
    </w:p>
    <w:p w:rsidR="001448D2" w:rsidRPr="001448D2" w:rsidRDefault="001448D2" w:rsidP="001448D2">
      <w:pPr>
        <w:ind w:left="720"/>
        <w:rPr>
          <w:rFonts w:ascii="Arial" w:eastAsia="新細明體" w:hAnsi="Arial" w:cs="Arial"/>
          <w:sz w:val="24"/>
          <w:szCs w:val="24"/>
        </w:rPr>
      </w:pPr>
      <w:r w:rsidRPr="001448D2">
        <w:rPr>
          <w:rFonts w:ascii="Arial" w:eastAsia="新細明體" w:hAnsi="Arial" w:cs="Arial"/>
          <w:sz w:val="24"/>
          <w:szCs w:val="24"/>
        </w:rPr>
        <w:t>No point is connected with earth (isolation), except perhaps via a high impedance.</w:t>
      </w:r>
    </w:p>
    <w:p w:rsidR="001448D2" w:rsidRPr="001448D2" w:rsidRDefault="001448D2" w:rsidP="001448D2">
      <w:pPr>
        <w:spacing w:before="100" w:beforeAutospacing="1" w:after="100" w:afterAutospacing="1"/>
        <w:rPr>
          <w:rFonts w:ascii="Arial" w:eastAsia="新細明體" w:hAnsi="Arial" w:cs="Arial"/>
          <w:sz w:val="24"/>
          <w:szCs w:val="24"/>
        </w:rPr>
      </w:pPr>
      <w:r w:rsidRPr="001448D2">
        <w:rPr>
          <w:rFonts w:ascii="Arial" w:eastAsia="新細明體" w:hAnsi="Arial" w:cs="Arial"/>
          <w:sz w:val="24"/>
          <w:szCs w:val="24"/>
        </w:rPr>
        <w:t xml:space="preserve">The </w:t>
      </w:r>
      <w:r w:rsidRPr="001448D2">
        <w:rPr>
          <w:rFonts w:ascii="Arial" w:eastAsia="新細明體" w:hAnsi="Arial" w:cs="Arial"/>
          <w:b/>
          <w:sz w:val="24"/>
          <w:szCs w:val="24"/>
        </w:rPr>
        <w:t>second letter</w:t>
      </w:r>
      <w:r w:rsidRPr="001448D2">
        <w:rPr>
          <w:rFonts w:ascii="Arial" w:eastAsia="新細明體" w:hAnsi="Arial" w:cs="Arial"/>
          <w:sz w:val="24"/>
          <w:szCs w:val="24"/>
        </w:rPr>
        <w:t xml:space="preserve"> indicates the connection between earth and the electrical device being supplied:</w:t>
      </w:r>
    </w:p>
    <w:p w:rsidR="001448D2" w:rsidRPr="001448D2" w:rsidRDefault="001448D2" w:rsidP="001448D2">
      <w:pPr>
        <w:rPr>
          <w:rFonts w:ascii="Arial" w:eastAsia="新細明體" w:hAnsi="Arial" w:cs="Arial"/>
          <w:sz w:val="24"/>
          <w:szCs w:val="24"/>
        </w:rPr>
      </w:pPr>
      <w:r w:rsidRPr="001448D2">
        <w:rPr>
          <w:rFonts w:ascii="Arial" w:eastAsia="新細明體" w:hAnsi="Arial" w:cs="Arial"/>
          <w:sz w:val="24"/>
          <w:szCs w:val="24"/>
        </w:rPr>
        <w:t>T</w:t>
      </w:r>
    </w:p>
    <w:p w:rsidR="001448D2" w:rsidRPr="001448D2" w:rsidRDefault="001448D2" w:rsidP="001448D2">
      <w:pPr>
        <w:ind w:left="720"/>
        <w:rPr>
          <w:rFonts w:ascii="Arial" w:eastAsia="新細明體" w:hAnsi="Arial" w:cs="Arial"/>
          <w:sz w:val="24"/>
          <w:szCs w:val="24"/>
        </w:rPr>
      </w:pPr>
      <w:r w:rsidRPr="001448D2">
        <w:rPr>
          <w:rFonts w:ascii="Arial" w:eastAsia="新細明體" w:hAnsi="Arial" w:cs="Arial"/>
          <w:sz w:val="24"/>
          <w:szCs w:val="24"/>
        </w:rPr>
        <w:t>Direct connection of a point with earth</w:t>
      </w:r>
    </w:p>
    <w:p w:rsidR="001448D2" w:rsidRPr="001448D2" w:rsidRDefault="001448D2" w:rsidP="001448D2">
      <w:pPr>
        <w:rPr>
          <w:rFonts w:ascii="Arial" w:eastAsia="新細明體" w:hAnsi="Arial" w:cs="Arial"/>
          <w:sz w:val="24"/>
          <w:szCs w:val="24"/>
        </w:rPr>
      </w:pPr>
      <w:r w:rsidRPr="001448D2">
        <w:rPr>
          <w:rFonts w:ascii="Arial" w:eastAsia="新細明體" w:hAnsi="Arial" w:cs="Arial"/>
          <w:sz w:val="24"/>
          <w:szCs w:val="24"/>
        </w:rPr>
        <w:t>N</w:t>
      </w:r>
    </w:p>
    <w:p w:rsidR="001448D2" w:rsidRPr="001448D2" w:rsidRDefault="001448D2" w:rsidP="001448D2">
      <w:pPr>
        <w:ind w:left="720"/>
        <w:rPr>
          <w:rFonts w:ascii="Arial" w:eastAsia="新細明體" w:hAnsi="Arial" w:cs="Arial"/>
          <w:sz w:val="24"/>
          <w:szCs w:val="24"/>
        </w:rPr>
      </w:pPr>
      <w:r w:rsidRPr="001448D2">
        <w:rPr>
          <w:rFonts w:ascii="Arial" w:eastAsia="新細明體" w:hAnsi="Arial" w:cs="Arial"/>
          <w:sz w:val="24"/>
          <w:szCs w:val="24"/>
        </w:rPr>
        <w:t>Direct connection to neutral at the origin of installation, which is connected to the earth</w:t>
      </w:r>
    </w:p>
    <w:p w:rsidR="001448D2" w:rsidRPr="001448D2" w:rsidRDefault="001448D2" w:rsidP="001448D2">
      <w:pPr>
        <w:rPr>
          <w:rFonts w:ascii="Arial" w:hAnsi="Arial" w:cs="Arial"/>
          <w:sz w:val="24"/>
          <w:szCs w:val="24"/>
        </w:rPr>
      </w:pPr>
    </w:p>
    <w:p w:rsidR="001448D2" w:rsidRPr="001448D2" w:rsidRDefault="001448D2" w:rsidP="001448D2">
      <w:pPr>
        <w:rPr>
          <w:rFonts w:ascii="Arial" w:hAnsi="Arial" w:cs="Arial"/>
          <w:sz w:val="24"/>
          <w:szCs w:val="24"/>
        </w:rPr>
      </w:pPr>
      <w:r w:rsidRPr="001448D2">
        <w:rPr>
          <w:rFonts w:ascii="Arial" w:hAnsi="Arial" w:cs="Arial"/>
          <w:sz w:val="24"/>
          <w:szCs w:val="24"/>
        </w:rPr>
        <w:br w:type="page"/>
      </w:r>
    </w:p>
    <w:p w:rsidR="001448D2" w:rsidRPr="001448D2" w:rsidRDefault="001448D2" w:rsidP="001448D2">
      <w:pPr>
        <w:rPr>
          <w:rFonts w:ascii="Arial" w:hAnsi="Arial" w:cs="Arial"/>
          <w:sz w:val="24"/>
          <w:szCs w:val="24"/>
        </w:rPr>
      </w:pPr>
    </w:p>
    <w:p w:rsidR="001448D2" w:rsidRPr="001448D2" w:rsidRDefault="001448D2" w:rsidP="001448D2">
      <w:pPr>
        <w:rPr>
          <w:rFonts w:ascii="Arial" w:hAnsi="Arial" w:cs="Arial"/>
          <w:sz w:val="24"/>
          <w:szCs w:val="24"/>
        </w:rPr>
      </w:pPr>
      <w:r w:rsidRPr="001448D2">
        <w:rPr>
          <w:rFonts w:ascii="Arial" w:hAnsi="Arial" w:cs="Arial"/>
          <w:sz w:val="24"/>
          <w:szCs w:val="24"/>
        </w:rPr>
        <w:t xml:space="preserve">The conductor that connects the exposed metallic parts of the consumer is called </w:t>
      </w:r>
      <w:r w:rsidRPr="001448D2">
        <w:rPr>
          <w:rFonts w:ascii="Arial" w:hAnsi="Arial" w:cs="Arial"/>
          <w:i/>
          <w:iCs/>
          <w:sz w:val="24"/>
          <w:szCs w:val="24"/>
        </w:rPr>
        <w:t>protective earth</w:t>
      </w:r>
      <w:r w:rsidRPr="001448D2">
        <w:rPr>
          <w:rFonts w:ascii="Arial" w:hAnsi="Arial" w:cs="Arial"/>
          <w:sz w:val="24"/>
          <w:szCs w:val="24"/>
        </w:rPr>
        <w:t xml:space="preserve"> (</w:t>
      </w:r>
      <w:r w:rsidRPr="001448D2">
        <w:rPr>
          <w:rFonts w:ascii="Arial" w:hAnsi="Arial" w:cs="Arial"/>
          <w:i/>
          <w:iCs/>
          <w:sz w:val="24"/>
          <w:szCs w:val="24"/>
        </w:rPr>
        <w:t>PE</w:t>
      </w:r>
      <w:r w:rsidRPr="001448D2">
        <w:rPr>
          <w:rFonts w:ascii="Arial" w:hAnsi="Arial" w:cs="Arial"/>
          <w:sz w:val="24"/>
          <w:szCs w:val="24"/>
        </w:rPr>
        <w:t xml:space="preserve">). The conductor that connects to the star point in a </w:t>
      </w:r>
      <w:hyperlink r:id="rId11" w:tooltip="Three-phase" w:history="1">
        <w:r w:rsidRPr="001448D2">
          <w:rPr>
            <w:rStyle w:val="afe"/>
            <w:rFonts w:ascii="Arial" w:hAnsi="Arial" w:cs="Arial"/>
            <w:sz w:val="24"/>
            <w:szCs w:val="24"/>
          </w:rPr>
          <w:t>three-phase</w:t>
        </w:r>
      </w:hyperlink>
      <w:r w:rsidRPr="001448D2">
        <w:rPr>
          <w:rFonts w:ascii="Arial" w:hAnsi="Arial" w:cs="Arial"/>
          <w:sz w:val="24"/>
          <w:szCs w:val="24"/>
        </w:rPr>
        <w:t xml:space="preserve"> system, or that carries the return current in a </w:t>
      </w:r>
      <w:hyperlink r:id="rId12" w:tooltip="Single-phase" w:history="1">
        <w:r w:rsidRPr="001448D2">
          <w:rPr>
            <w:rStyle w:val="afe"/>
            <w:rFonts w:ascii="Arial" w:hAnsi="Arial" w:cs="Arial"/>
            <w:sz w:val="24"/>
            <w:szCs w:val="24"/>
          </w:rPr>
          <w:t>single-phase</w:t>
        </w:r>
      </w:hyperlink>
      <w:r w:rsidRPr="001448D2">
        <w:rPr>
          <w:rFonts w:ascii="Arial" w:hAnsi="Arial" w:cs="Arial"/>
          <w:sz w:val="24"/>
          <w:szCs w:val="24"/>
        </w:rPr>
        <w:t xml:space="preserve"> system, is called </w:t>
      </w:r>
      <w:r w:rsidRPr="001448D2">
        <w:rPr>
          <w:rFonts w:ascii="Arial" w:hAnsi="Arial" w:cs="Arial"/>
          <w:i/>
          <w:iCs/>
          <w:sz w:val="24"/>
          <w:szCs w:val="24"/>
        </w:rPr>
        <w:t>neutral</w:t>
      </w:r>
      <w:r w:rsidRPr="001448D2">
        <w:rPr>
          <w:rFonts w:ascii="Arial" w:hAnsi="Arial" w:cs="Arial"/>
          <w:sz w:val="24"/>
          <w:szCs w:val="24"/>
        </w:rPr>
        <w:t xml:space="preserve"> (</w:t>
      </w:r>
      <w:r w:rsidRPr="001448D2">
        <w:rPr>
          <w:rFonts w:ascii="Arial" w:hAnsi="Arial" w:cs="Arial"/>
          <w:i/>
          <w:iCs/>
          <w:sz w:val="24"/>
          <w:szCs w:val="24"/>
        </w:rPr>
        <w:t>N</w:t>
      </w:r>
      <w:r w:rsidRPr="001448D2">
        <w:rPr>
          <w:rFonts w:ascii="Arial" w:hAnsi="Arial" w:cs="Arial"/>
          <w:sz w:val="24"/>
          <w:szCs w:val="24"/>
        </w:rPr>
        <w:t>). Three variants of TN systems are distinguished:</w:t>
      </w:r>
    </w:p>
    <w:p w:rsidR="001448D2" w:rsidRPr="001448D2" w:rsidRDefault="001448D2" w:rsidP="001448D2">
      <w:pPr>
        <w:rPr>
          <w:rFonts w:ascii="Arial" w:hAnsi="Arial" w:cs="Arial"/>
          <w:sz w:val="24"/>
          <w:szCs w:val="24"/>
        </w:rPr>
      </w:pPr>
    </w:p>
    <w:tbl>
      <w:tblPr>
        <w:tblStyle w:val="-5"/>
        <w:tblW w:w="0" w:type="auto"/>
        <w:tblLook w:val="04A0"/>
      </w:tblPr>
      <w:tblGrid>
        <w:gridCol w:w="3322"/>
        <w:gridCol w:w="3323"/>
        <w:gridCol w:w="3323"/>
      </w:tblGrid>
      <w:tr w:rsidR="001448D2" w:rsidRPr="001448D2" w:rsidTr="00A94B8F">
        <w:trPr>
          <w:cnfStyle w:val="100000000000"/>
        </w:trPr>
        <w:tc>
          <w:tcPr>
            <w:cnfStyle w:val="001000000000"/>
            <w:tcW w:w="0" w:type="auto"/>
            <w:hideMark/>
          </w:tcPr>
          <w:p w:rsidR="001448D2" w:rsidRPr="001448D2" w:rsidRDefault="001448D2" w:rsidP="00A94B8F">
            <w:pPr>
              <w:rPr>
                <w:rFonts w:ascii="Arial" w:eastAsia="新細明體" w:hAnsi="Arial" w:cs="Arial"/>
                <w:kern w:val="0"/>
                <w:szCs w:val="24"/>
              </w:rPr>
            </w:pPr>
            <w:r w:rsidRPr="001448D2">
              <w:rPr>
                <w:rFonts w:ascii="Arial" w:eastAsia="新細明體" w:hAnsi="Arial" w:cs="Arial"/>
                <w:noProof/>
                <w:color w:val="0000FF"/>
                <w:kern w:val="0"/>
                <w:szCs w:val="24"/>
              </w:rPr>
              <w:drawing>
                <wp:inline distT="0" distB="0" distL="0" distR="0">
                  <wp:extent cx="2377440" cy="2164080"/>
                  <wp:effectExtent l="0" t="0" r="3810" b="0"/>
                  <wp:docPr id="1" name="圖片 1" descr="TN-S-earthing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N-S-earthing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440" cy="2164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448D2" w:rsidRPr="001448D2" w:rsidRDefault="001448D2" w:rsidP="00A94B8F">
            <w:pPr>
              <w:cnfStyle w:val="100000000000"/>
              <w:rPr>
                <w:rFonts w:ascii="Arial" w:eastAsia="新細明體" w:hAnsi="Arial" w:cs="Arial"/>
                <w:kern w:val="0"/>
                <w:szCs w:val="24"/>
              </w:rPr>
            </w:pPr>
            <w:r w:rsidRPr="001448D2">
              <w:rPr>
                <w:rFonts w:ascii="Arial" w:eastAsia="新細明體" w:hAnsi="Arial" w:cs="Arial"/>
                <w:noProof/>
                <w:color w:val="0000FF"/>
                <w:kern w:val="0"/>
                <w:szCs w:val="24"/>
              </w:rPr>
              <w:drawing>
                <wp:inline distT="0" distB="0" distL="0" distR="0">
                  <wp:extent cx="2377440" cy="2164080"/>
                  <wp:effectExtent l="0" t="0" r="3810" b="0"/>
                  <wp:docPr id="3" name="圖片 2" descr="TN-C-earthing.sv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N-C-earthing.sv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440" cy="2164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448D2" w:rsidRPr="001448D2" w:rsidRDefault="001448D2" w:rsidP="00A94B8F">
            <w:pPr>
              <w:cnfStyle w:val="100000000000"/>
              <w:rPr>
                <w:rFonts w:ascii="Arial" w:eastAsia="新細明體" w:hAnsi="Arial" w:cs="Arial"/>
                <w:kern w:val="0"/>
                <w:szCs w:val="24"/>
              </w:rPr>
            </w:pPr>
            <w:r w:rsidRPr="001448D2">
              <w:rPr>
                <w:rFonts w:ascii="Arial" w:eastAsia="新細明體" w:hAnsi="Arial" w:cs="Arial"/>
                <w:noProof/>
                <w:color w:val="0000FF"/>
                <w:kern w:val="0"/>
                <w:szCs w:val="24"/>
              </w:rPr>
              <w:drawing>
                <wp:inline distT="0" distB="0" distL="0" distR="0">
                  <wp:extent cx="2377440" cy="2164080"/>
                  <wp:effectExtent l="0" t="0" r="3810" b="0"/>
                  <wp:docPr id="4" name="圖片 3" descr="TN-C-S-earthing.sv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N-C-S-earthing.svg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440" cy="2164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48D2" w:rsidRPr="001448D2" w:rsidTr="00A94B8F">
        <w:trPr>
          <w:cnfStyle w:val="000000100000"/>
        </w:trPr>
        <w:tc>
          <w:tcPr>
            <w:cnfStyle w:val="001000000000"/>
            <w:tcW w:w="0" w:type="auto"/>
            <w:hideMark/>
          </w:tcPr>
          <w:p w:rsidR="001448D2" w:rsidRPr="001448D2" w:rsidRDefault="001448D2" w:rsidP="00A94B8F">
            <w:pPr>
              <w:rPr>
                <w:rFonts w:ascii="Arial" w:eastAsia="新細明體" w:hAnsi="Arial" w:cs="Arial"/>
                <w:kern w:val="0"/>
                <w:szCs w:val="24"/>
              </w:rPr>
            </w:pPr>
            <w:r w:rsidRPr="001448D2">
              <w:rPr>
                <w:rFonts w:ascii="Arial" w:eastAsia="新細明體" w:hAnsi="Arial" w:cs="Arial"/>
                <w:kern w:val="0"/>
                <w:szCs w:val="24"/>
              </w:rPr>
              <w:t>TN-S: separate protective earth (PE) and neutral (N) conductors from transformer to consuming device, which are not connected together at any point after the building distribution point.</w:t>
            </w:r>
          </w:p>
        </w:tc>
        <w:tc>
          <w:tcPr>
            <w:tcW w:w="0" w:type="auto"/>
            <w:hideMark/>
          </w:tcPr>
          <w:p w:rsidR="001448D2" w:rsidRPr="001448D2" w:rsidRDefault="001448D2" w:rsidP="00A94B8F">
            <w:pPr>
              <w:cnfStyle w:val="000000100000"/>
              <w:rPr>
                <w:rFonts w:ascii="Arial" w:eastAsia="新細明體" w:hAnsi="Arial" w:cs="Arial"/>
                <w:kern w:val="0"/>
                <w:szCs w:val="24"/>
              </w:rPr>
            </w:pPr>
            <w:r w:rsidRPr="001448D2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TN-C</w:t>
            </w:r>
            <w:r w:rsidRPr="001448D2">
              <w:rPr>
                <w:rFonts w:ascii="Arial" w:eastAsia="新細明體" w:hAnsi="Arial" w:cs="Arial"/>
                <w:kern w:val="0"/>
                <w:szCs w:val="24"/>
              </w:rPr>
              <w:t>: combined PE and N conductor all the way from the transformer to the consuming device.</w:t>
            </w:r>
          </w:p>
        </w:tc>
        <w:tc>
          <w:tcPr>
            <w:tcW w:w="0" w:type="auto"/>
            <w:hideMark/>
          </w:tcPr>
          <w:p w:rsidR="001448D2" w:rsidRPr="001448D2" w:rsidRDefault="001448D2" w:rsidP="00A94B8F">
            <w:pPr>
              <w:cnfStyle w:val="000000100000"/>
              <w:rPr>
                <w:rFonts w:ascii="Arial" w:eastAsia="新細明體" w:hAnsi="Arial" w:cs="Arial"/>
                <w:kern w:val="0"/>
                <w:szCs w:val="24"/>
              </w:rPr>
            </w:pPr>
            <w:r w:rsidRPr="001448D2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TN-C-S earthing system</w:t>
            </w:r>
            <w:r w:rsidRPr="001448D2">
              <w:rPr>
                <w:rFonts w:ascii="Arial" w:eastAsia="新細明體" w:hAnsi="Arial" w:cs="Arial"/>
                <w:kern w:val="0"/>
                <w:szCs w:val="24"/>
              </w:rPr>
              <w:t>: combined PEN conductor from transformer to building distribution point, but separate PE and N conductors in fixed indoor wiring and flexible power cords.</w:t>
            </w:r>
          </w:p>
        </w:tc>
      </w:tr>
    </w:tbl>
    <w:p w:rsidR="001448D2" w:rsidRPr="001448D2" w:rsidRDefault="001448D2" w:rsidP="001448D2">
      <w:pPr>
        <w:rPr>
          <w:rFonts w:ascii="Arial" w:hAnsi="Arial" w:cs="Arial"/>
          <w:sz w:val="24"/>
          <w:szCs w:val="24"/>
        </w:rPr>
      </w:pPr>
    </w:p>
    <w:p w:rsidR="001448D2" w:rsidRPr="001448D2" w:rsidRDefault="001448D2" w:rsidP="001448D2">
      <w:pPr>
        <w:rPr>
          <w:rFonts w:ascii="Arial" w:hAnsi="Arial" w:cs="Arial"/>
          <w:sz w:val="24"/>
          <w:szCs w:val="24"/>
        </w:rPr>
      </w:pPr>
    </w:p>
    <w:p w:rsidR="001448D2" w:rsidRPr="001448D2" w:rsidRDefault="001448D2" w:rsidP="001448D2">
      <w:pPr>
        <w:rPr>
          <w:rFonts w:ascii="Arial" w:hAnsi="Arial" w:cs="Arial"/>
          <w:sz w:val="24"/>
          <w:szCs w:val="24"/>
        </w:rPr>
      </w:pPr>
    </w:p>
    <w:p w:rsidR="001448D2" w:rsidRPr="001448D2" w:rsidRDefault="001448D2" w:rsidP="001448D2">
      <w:pPr>
        <w:rPr>
          <w:rFonts w:ascii="Arial" w:hAnsi="Arial" w:cs="Arial"/>
          <w:sz w:val="24"/>
          <w:szCs w:val="24"/>
        </w:rPr>
      </w:pPr>
    </w:p>
    <w:p w:rsidR="001448D2" w:rsidRPr="001448D2" w:rsidRDefault="001448D2" w:rsidP="001448D2">
      <w:pPr>
        <w:spacing w:before="100" w:beforeAutospacing="1" w:after="100" w:afterAutospacing="1"/>
        <w:outlineLvl w:val="2"/>
        <w:rPr>
          <w:rFonts w:ascii="Arial" w:eastAsia="新細明體" w:hAnsi="Arial" w:cs="Arial"/>
          <w:b/>
          <w:bCs/>
          <w:sz w:val="24"/>
          <w:szCs w:val="24"/>
        </w:rPr>
      </w:pPr>
      <w:r w:rsidRPr="001448D2">
        <w:rPr>
          <w:rFonts w:ascii="Arial" w:eastAsia="新細明體" w:hAnsi="Arial" w:cs="Arial"/>
          <w:b/>
          <w:bCs/>
          <w:sz w:val="24"/>
          <w:szCs w:val="24"/>
        </w:rPr>
        <w:t>IT network</w:t>
      </w:r>
    </w:p>
    <w:p w:rsidR="001448D2" w:rsidRPr="001448D2" w:rsidRDefault="001448D2" w:rsidP="001448D2">
      <w:pPr>
        <w:spacing w:before="100" w:beforeAutospacing="1" w:after="100" w:afterAutospacing="1"/>
        <w:rPr>
          <w:rFonts w:ascii="Arial" w:eastAsia="新細明體" w:hAnsi="Arial" w:cs="Arial"/>
          <w:sz w:val="24"/>
          <w:szCs w:val="24"/>
        </w:rPr>
      </w:pPr>
      <w:r w:rsidRPr="001448D2">
        <w:rPr>
          <w:rFonts w:ascii="Arial" w:eastAsia="新細明體" w:hAnsi="Arial" w:cs="Arial"/>
          <w:sz w:val="24"/>
          <w:szCs w:val="24"/>
        </w:rPr>
        <w:t xml:space="preserve">In an </w:t>
      </w:r>
      <w:r w:rsidRPr="001448D2">
        <w:rPr>
          <w:rFonts w:ascii="Arial" w:eastAsia="新細明體" w:hAnsi="Arial" w:cs="Arial"/>
          <w:b/>
          <w:bCs/>
          <w:sz w:val="24"/>
          <w:szCs w:val="24"/>
        </w:rPr>
        <w:t>IT</w:t>
      </w:r>
      <w:r w:rsidRPr="001448D2">
        <w:rPr>
          <w:rFonts w:ascii="Arial" w:eastAsia="新細明體" w:hAnsi="Arial" w:cs="Arial"/>
          <w:sz w:val="24"/>
          <w:szCs w:val="24"/>
        </w:rPr>
        <w:t xml:space="preserve"> network, the distribution system has no connection to earth at all, or it has only a high </w:t>
      </w:r>
      <w:hyperlink r:id="rId19" w:tooltip="Electrical impedance" w:history="1">
        <w:r w:rsidRPr="001448D2">
          <w:rPr>
            <w:rFonts w:ascii="Arial" w:eastAsia="新細明體" w:hAnsi="Arial" w:cs="Arial"/>
            <w:color w:val="0000FF"/>
            <w:sz w:val="24"/>
            <w:szCs w:val="24"/>
            <w:u w:val="single"/>
          </w:rPr>
          <w:t>impedance</w:t>
        </w:r>
      </w:hyperlink>
      <w:r w:rsidRPr="001448D2">
        <w:rPr>
          <w:rFonts w:ascii="Arial" w:eastAsia="新細明體" w:hAnsi="Arial" w:cs="Arial"/>
          <w:sz w:val="24"/>
          <w:szCs w:val="24"/>
        </w:rPr>
        <w:t xml:space="preserve"> connection. In such systems, an </w:t>
      </w:r>
      <w:hyperlink r:id="rId20" w:tooltip="Insulation Monitoring Device" w:history="1">
        <w:r w:rsidRPr="001448D2">
          <w:rPr>
            <w:rFonts w:ascii="Arial" w:eastAsia="新細明體" w:hAnsi="Arial" w:cs="Arial"/>
            <w:color w:val="0000FF"/>
            <w:sz w:val="24"/>
            <w:szCs w:val="24"/>
            <w:u w:val="single"/>
          </w:rPr>
          <w:t>insulation monitoring device</w:t>
        </w:r>
      </w:hyperlink>
      <w:r w:rsidRPr="001448D2">
        <w:rPr>
          <w:rFonts w:ascii="Arial" w:eastAsia="新細明體" w:hAnsi="Arial" w:cs="Arial"/>
          <w:sz w:val="24"/>
          <w:szCs w:val="24"/>
        </w:rPr>
        <w:t xml:space="preserve"> is used to </w:t>
      </w:r>
      <w:r w:rsidRPr="001448D2">
        <w:rPr>
          <w:rFonts w:ascii="Arial" w:eastAsia="新細明體" w:hAnsi="Arial" w:cs="Arial"/>
          <w:sz w:val="24"/>
          <w:szCs w:val="24"/>
        </w:rPr>
        <w:lastRenderedPageBreak/>
        <w:t>monitor the impedance. For safety reasons this network is not accepted under European norms.</w:t>
      </w:r>
    </w:p>
    <w:p w:rsidR="001448D2" w:rsidRPr="001448D2" w:rsidRDefault="001448D2" w:rsidP="001448D2">
      <w:pPr>
        <w:spacing w:before="100" w:beforeAutospacing="1" w:after="100" w:afterAutospacing="1"/>
        <w:rPr>
          <w:rFonts w:ascii="Arial" w:eastAsia="新細明體" w:hAnsi="Arial" w:cs="Arial"/>
          <w:sz w:val="24"/>
          <w:szCs w:val="24"/>
        </w:rPr>
      </w:pPr>
      <w:r w:rsidRPr="001448D2">
        <w:rPr>
          <w:rFonts w:ascii="Arial" w:eastAsia="新細明體" w:hAnsi="Arial" w:cs="Arial"/>
          <w:noProof/>
          <w:color w:val="0000FF"/>
          <w:sz w:val="24"/>
          <w:szCs w:val="24"/>
        </w:rPr>
        <w:drawing>
          <wp:inline distT="0" distB="0" distL="0" distR="0">
            <wp:extent cx="3329940" cy="3025140"/>
            <wp:effectExtent l="0" t="0" r="0" b="0"/>
            <wp:docPr id="7" name="圖片 7" descr="IT-earthing.sv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T-earthing.sv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302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8D2" w:rsidRPr="001448D2" w:rsidRDefault="001448D2" w:rsidP="001448D2">
      <w:pPr>
        <w:rPr>
          <w:rFonts w:ascii="Arial" w:hAnsi="Arial" w:cs="Arial"/>
          <w:sz w:val="24"/>
          <w:szCs w:val="24"/>
        </w:rPr>
      </w:pPr>
    </w:p>
    <w:p w:rsidR="001448D2" w:rsidRPr="001448D2" w:rsidRDefault="001448D2" w:rsidP="001448D2">
      <w:pPr>
        <w:rPr>
          <w:rFonts w:ascii="Arial" w:hAnsi="Arial" w:cs="Arial"/>
          <w:sz w:val="24"/>
          <w:szCs w:val="24"/>
        </w:rPr>
      </w:pPr>
    </w:p>
    <w:p w:rsidR="00696E42" w:rsidRPr="001448D2" w:rsidRDefault="00696E42" w:rsidP="001448D2">
      <w:pPr>
        <w:rPr>
          <w:rFonts w:ascii="Arial" w:hAnsi="Arial" w:cs="Arial"/>
          <w:sz w:val="24"/>
          <w:szCs w:val="24"/>
        </w:rPr>
      </w:pPr>
    </w:p>
    <w:sectPr w:rsidR="00696E42" w:rsidRPr="001448D2" w:rsidSect="000B67AA">
      <w:headerReference w:type="default" r:id="rId23"/>
      <w:footerReference w:type="default" r:id="rId24"/>
      <w:pgSz w:w="11906" w:h="16838" w:code="9"/>
      <w:pgMar w:top="1588" w:right="1077" w:bottom="907" w:left="1077" w:header="454" w:footer="113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67E" w:rsidRDefault="0004567E" w:rsidP="00730B0A">
      <w:pPr>
        <w:spacing w:after="0" w:line="240" w:lineRule="auto"/>
      </w:pPr>
      <w:r>
        <w:separator/>
      </w:r>
    </w:p>
  </w:endnote>
  <w:endnote w:type="continuationSeparator" w:id="1">
    <w:p w:rsidR="0004567E" w:rsidRDefault="0004567E" w:rsidP="00730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·s2OcuAe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BB6" w:rsidRDefault="00451DB2" w:rsidP="00EA6D04">
    <w:pPr>
      <w:pStyle w:val="a5"/>
      <w:rPr>
        <w:lang w:eastAsia="zh-TW"/>
      </w:rPr>
    </w:pPr>
    <w:r w:rsidRPr="00451DB2">
      <w:rPr>
        <w:rFonts w:asciiTheme="majorHAnsi" w:hAnsiTheme="majorHAnsi" w:cstheme="majorHAnsi"/>
        <w:lang w:eastAsia="zh-TW"/>
      </w:rPr>
      <w:ptab w:relativeTo="margin" w:alignment="right" w:leader="none"/>
    </w:r>
    <w:r w:rsidRPr="00451DB2">
      <w:rPr>
        <w:rFonts w:asciiTheme="majorHAnsi" w:hAnsiTheme="majorHAnsi" w:cstheme="majorHAnsi"/>
        <w:lang w:val="zh-TW" w:eastAsia="zh-TW"/>
      </w:rPr>
      <w:t>頁</w:t>
    </w:r>
    <w:r w:rsidRPr="00451DB2">
      <w:rPr>
        <w:rFonts w:asciiTheme="majorHAnsi" w:hAnsiTheme="majorHAnsi" w:cstheme="majorHAnsi"/>
        <w:lang w:val="zh-TW" w:eastAsia="zh-TW"/>
      </w:rPr>
      <w:t xml:space="preserve"> </w:t>
    </w:r>
    <w:r w:rsidR="00843425">
      <w:rPr>
        <w:lang w:eastAsia="zh-TW"/>
      </w:rPr>
      <w:fldChar w:fldCharType="begin"/>
    </w:r>
    <w:r>
      <w:rPr>
        <w:lang w:eastAsia="zh-TW"/>
      </w:rPr>
      <w:instrText xml:space="preserve"> PAGE   \* MERGEFORMAT </w:instrText>
    </w:r>
    <w:r w:rsidR="00843425">
      <w:rPr>
        <w:lang w:eastAsia="zh-TW"/>
      </w:rPr>
      <w:fldChar w:fldCharType="separate"/>
    </w:r>
    <w:r w:rsidR="001448D2" w:rsidRPr="001448D2">
      <w:rPr>
        <w:rFonts w:asciiTheme="majorHAnsi" w:hAnsiTheme="majorHAnsi" w:cstheme="majorHAnsi"/>
        <w:noProof/>
        <w:lang w:val="zh-TW" w:eastAsia="zh-TW"/>
      </w:rPr>
      <w:t>3</w:t>
    </w:r>
    <w:r w:rsidR="00843425">
      <w:rPr>
        <w:lang w:eastAsia="zh-TW"/>
      </w:rPr>
      <w:fldChar w:fldCharType="end"/>
    </w:r>
    <w:r w:rsidR="00843425">
      <w:rPr>
        <w:noProof/>
        <w:lang w:eastAsia="zh-TW"/>
      </w:rPr>
      <w:pict>
        <v:group id="_x0000_s1038" style="position:absolute;margin-left:0;margin-top:0;width:611.15pt;height:64.75pt;flip:y;z-index:251668480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allowincell="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568278 [2408]"/>
          <v:rect id="_x0000_s1040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 w:rsidR="00843425">
      <w:rPr>
        <w:noProof/>
        <w:lang w:eastAsia="zh-TW"/>
      </w:rPr>
      <w:pict>
        <v:rect id="_x0000_s1037" style="position:absolute;margin-left:0;margin-top:0;width:7.15pt;height:63.95pt;z-index:251667456;mso-height-percent:900;mso-position-horizontal:center;mso-position-horizontal-relative:left-margin-area;mso-position-vertical:bottom;mso-position-vertical-relative:page;mso-height-percent:900;mso-height-relative:bottom-margin-area" fillcolor="#7ba79d [3208]" strokecolor="#39564f [1608]">
          <w10:wrap anchorx="margin" anchory="page"/>
        </v:rect>
      </w:pict>
    </w:r>
    <w:r w:rsidR="00843425">
      <w:rPr>
        <w:noProof/>
        <w:lang w:eastAsia="zh-TW"/>
      </w:rPr>
      <w:pict>
        <v:rect id="_x0000_s1036" style="position:absolute;margin-left:0;margin-top:0;width:7.15pt;height:63.95pt;z-index:251666432;mso-height-percent:900;mso-position-horizontal:center;mso-position-horizontal-relative:right-margin-area;mso-position-vertical:bottom;mso-position-vertical-relative:page;mso-height-percent:900;mso-height-relative:bottom-margin-area" fillcolor="#7ba79d [3208]" strokecolor="#39564f [1608]"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67E" w:rsidRDefault="0004567E" w:rsidP="00730B0A">
      <w:pPr>
        <w:spacing w:after="0" w:line="240" w:lineRule="auto"/>
      </w:pPr>
      <w:r>
        <w:separator/>
      </w:r>
    </w:p>
  </w:footnote>
  <w:footnote w:type="continuationSeparator" w:id="1">
    <w:p w:rsidR="0004567E" w:rsidRDefault="0004567E" w:rsidP="00730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728" w:rsidRPr="00FB1728" w:rsidRDefault="00843425" w:rsidP="000B67AA">
    <w:pPr>
      <w:pStyle w:val="ae"/>
      <w:ind w:firstLineChars="300" w:firstLine="600"/>
      <w:rPr>
        <w:rFonts w:ascii="標楷體" w:eastAsia="標楷體" w:hAnsi="標楷體"/>
        <w:sz w:val="28"/>
        <w:szCs w:val="28"/>
        <w:lang w:eastAsia="zh-TW"/>
      </w:rPr>
    </w:pPr>
    <w:r w:rsidRPr="00843425">
      <w:rPr>
        <w:rFonts w:ascii="Book Antiqua" w:eastAsia="標楷體" w:hAnsi="Book Antiqua" w:cstheme="majorBidi"/>
        <w:sz w:val="20"/>
        <w:szCs w:val="20"/>
      </w:rPr>
      <w:pict>
        <v:group id="_x0000_s1033" style="position:absolute;left:0;text-align:left;margin-left:0;margin-top:0;width:594.45pt;height:74.75pt;z-index:251664384;mso-width-percent:1000;mso-position-horizontal:center;mso-position-horizontal-relative:page;mso-position-vertical:top;mso-position-vertical-relative:page;mso-width-percent:1000;mso-height-relative:top-margin-area" coordorigin="8,9" coordsize="15823,143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568278 [2408]"/>
          <v:rect id="_x0000_s1035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 w:rsidR="00D07BAF">
      <w:rPr>
        <w:rFonts w:ascii="標楷體" w:eastAsia="標楷體" w:hAnsi="標楷體" w:hint="eastAsia"/>
        <w:noProof/>
        <w:sz w:val="28"/>
        <w:szCs w:val="28"/>
        <w:lang w:eastAsia="zh-TW" w:bidi="ar-SA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-167005</wp:posOffset>
          </wp:positionV>
          <wp:extent cx="687070" cy="636270"/>
          <wp:effectExtent l="19050" t="0" r="0" b="0"/>
          <wp:wrapTight wrapText="bothSides">
            <wp:wrapPolygon edited="0">
              <wp:start x="-599" y="0"/>
              <wp:lineTo x="-599" y="20695"/>
              <wp:lineTo x="21560" y="20695"/>
              <wp:lineTo x="21560" y="0"/>
              <wp:lineTo x="-599" y="0"/>
            </wp:wrapPolygon>
          </wp:wrapTight>
          <wp:docPr id="8" name="圖片 3" descr="KJ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J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707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B3B48">
      <w:rPr>
        <w:rFonts w:ascii="標楷體" w:eastAsia="標楷體" w:hAnsi="標楷體" w:hint="eastAsia"/>
        <w:sz w:val="28"/>
        <w:szCs w:val="28"/>
        <w:lang w:eastAsia="zh-TW"/>
      </w:rPr>
      <w:t xml:space="preserve"> </w:t>
    </w:r>
    <w:r w:rsidR="000B67AA">
      <w:rPr>
        <w:rFonts w:ascii="標楷體" w:eastAsia="標楷體" w:hAnsi="標楷體" w:hint="eastAsia"/>
        <w:sz w:val="28"/>
        <w:szCs w:val="28"/>
        <w:lang w:eastAsia="zh-TW"/>
      </w:rPr>
      <w:t xml:space="preserve">  </w:t>
    </w:r>
    <w:r w:rsidR="00FB1728" w:rsidRPr="00FB1728">
      <w:rPr>
        <w:rFonts w:ascii="標楷體" w:eastAsia="標楷體" w:hAnsi="標楷體" w:hint="eastAsia"/>
        <w:sz w:val="28"/>
        <w:szCs w:val="28"/>
        <w:lang w:eastAsia="zh-TW"/>
      </w:rPr>
      <w:t xml:space="preserve">坤展國際安全驗證有限公司 </w:t>
    </w:r>
  </w:p>
  <w:p w:rsidR="00FB1728" w:rsidRPr="00FB1728" w:rsidRDefault="00FB1728" w:rsidP="00FB1728">
    <w:pPr>
      <w:pStyle w:val="ae"/>
      <w:rPr>
        <w:rFonts w:ascii="Book Antiqua" w:eastAsia="標楷體" w:hAnsi="Book Antiqua"/>
        <w:sz w:val="20"/>
        <w:szCs w:val="20"/>
        <w:lang w:eastAsia="zh-TW"/>
      </w:rPr>
    </w:pPr>
    <w:r w:rsidRPr="00FB1728">
      <w:rPr>
        <w:rFonts w:ascii="Book Antiqua" w:hAnsi="Book Antiqua"/>
        <w:sz w:val="28"/>
        <w:szCs w:val="28"/>
        <w:lang w:eastAsia="zh-TW"/>
      </w:rPr>
      <w:t xml:space="preserve"> </w:t>
    </w:r>
    <w:r w:rsidR="00D07BAF">
      <w:rPr>
        <w:rFonts w:ascii="Book Antiqua" w:hAnsi="Book Antiqua" w:hint="eastAsia"/>
        <w:sz w:val="28"/>
        <w:szCs w:val="28"/>
        <w:lang w:eastAsia="zh-TW"/>
      </w:rPr>
      <w:t xml:space="preserve">     </w:t>
    </w:r>
    <w:r w:rsidR="006B3B48">
      <w:rPr>
        <w:rFonts w:ascii="Book Antiqua" w:hAnsi="Book Antiqua" w:hint="eastAsia"/>
        <w:sz w:val="28"/>
        <w:szCs w:val="28"/>
        <w:lang w:eastAsia="zh-TW"/>
      </w:rPr>
      <w:t xml:space="preserve"> </w:t>
    </w:r>
    <w:r w:rsidR="000B67AA">
      <w:rPr>
        <w:rFonts w:ascii="Book Antiqua" w:hAnsi="Book Antiqua" w:hint="eastAsia"/>
        <w:sz w:val="28"/>
        <w:szCs w:val="28"/>
        <w:lang w:eastAsia="zh-TW"/>
      </w:rPr>
      <w:t xml:space="preserve"> </w:t>
    </w:r>
    <w:r w:rsidRPr="00FB1728">
      <w:rPr>
        <w:rFonts w:ascii="Book Antiqua" w:hAnsi="Book Antiqua"/>
        <w:sz w:val="28"/>
        <w:szCs w:val="28"/>
        <w:lang w:eastAsia="zh-TW"/>
      </w:rPr>
      <w:t>K. J. Certification Co. Ltd.</w:t>
    </w:r>
    <w:r w:rsidRPr="00FB1728">
      <w:rPr>
        <w:rFonts w:ascii="Book Antiqua" w:hAnsi="Book Antiqua"/>
        <w:sz w:val="32"/>
        <w:szCs w:val="32"/>
        <w:lang w:eastAsia="zh-TW"/>
      </w:rPr>
      <w:t xml:space="preserve"> </w:t>
    </w:r>
    <w:r w:rsidRPr="00FB1728">
      <w:rPr>
        <w:rFonts w:ascii="Book Antiqua" w:hAnsi="Book Antiqua"/>
        <w:lang w:eastAsia="zh-TW"/>
      </w:rPr>
      <w:t xml:space="preserve"> </w:t>
    </w:r>
    <w:r w:rsidR="00D07BAF">
      <w:rPr>
        <w:rFonts w:hint="eastAsia"/>
        <w:lang w:eastAsia="zh-TW"/>
      </w:rPr>
      <w:t xml:space="preserve">                </w:t>
    </w:r>
    <w:r w:rsidRPr="00FB1728">
      <w:rPr>
        <w:rFonts w:ascii="Book Antiqua" w:eastAsia="標楷體" w:hAnsi="標楷體" w:hint="eastAsia"/>
        <w:sz w:val="20"/>
        <w:szCs w:val="20"/>
        <w:lang w:eastAsia="zh-TW"/>
      </w:rPr>
      <w:t>432</w:t>
    </w:r>
    <w:r w:rsidRPr="00FB1728">
      <w:rPr>
        <w:rFonts w:ascii="Book Antiqua" w:eastAsia="標楷體" w:hAnsi="標楷體"/>
        <w:sz w:val="20"/>
        <w:szCs w:val="20"/>
        <w:lang w:eastAsia="zh-TW"/>
      </w:rPr>
      <w:t>台中市大肚區遊園路二段</w:t>
    </w:r>
    <w:r w:rsidRPr="00FB1728">
      <w:rPr>
        <w:rFonts w:ascii="Book Antiqua" w:eastAsia="標楷體" w:hAnsi="Book Antiqua"/>
        <w:sz w:val="20"/>
        <w:szCs w:val="20"/>
        <w:lang w:eastAsia="zh-TW"/>
      </w:rPr>
      <w:t>43</w:t>
    </w:r>
    <w:r w:rsidRPr="00FB1728">
      <w:rPr>
        <w:rFonts w:ascii="Book Antiqua" w:eastAsia="標楷體" w:hAnsi="標楷體"/>
        <w:sz w:val="20"/>
        <w:szCs w:val="20"/>
        <w:lang w:eastAsia="zh-TW"/>
      </w:rPr>
      <w:t>號</w:t>
    </w:r>
    <w:r w:rsidRPr="00FB1728">
      <w:rPr>
        <w:rFonts w:ascii="Book Antiqua" w:eastAsia="標楷體" w:hAnsi="Book Antiqua"/>
        <w:sz w:val="20"/>
        <w:szCs w:val="20"/>
        <w:lang w:eastAsia="zh-TW"/>
      </w:rPr>
      <w:t>1</w:t>
    </w:r>
    <w:r w:rsidRPr="00FB1728">
      <w:rPr>
        <w:rFonts w:ascii="Book Antiqua" w:eastAsia="標楷體" w:hAnsi="標楷體"/>
        <w:sz w:val="20"/>
        <w:szCs w:val="20"/>
        <w:lang w:eastAsia="zh-TW"/>
      </w:rPr>
      <w:t>樓</w:t>
    </w:r>
  </w:p>
  <w:p w:rsidR="00623BB6" w:rsidRPr="00FB1728" w:rsidRDefault="00FB1728" w:rsidP="00330B38">
    <w:pPr>
      <w:pStyle w:val="ae"/>
      <w:jc w:val="center"/>
      <w:rPr>
        <w:rFonts w:ascii="Book Antiqua" w:eastAsia="標楷體" w:hAnsi="Book Antiqua" w:cstheme="majorBidi"/>
        <w:sz w:val="20"/>
        <w:szCs w:val="20"/>
        <w:lang w:eastAsia="zh-TW"/>
      </w:rPr>
    </w:pPr>
    <w:r w:rsidRPr="00FB1728">
      <w:rPr>
        <w:rFonts w:ascii="Book Antiqua" w:eastAsia="標楷體" w:hAnsi="Book Antiqua"/>
        <w:sz w:val="20"/>
        <w:szCs w:val="20"/>
        <w:lang w:eastAsia="zh-TW"/>
      </w:rPr>
      <w:t xml:space="preserve">                                                     </w:t>
    </w:r>
    <w:r>
      <w:rPr>
        <w:rFonts w:ascii="Book Antiqua" w:eastAsia="標楷體" w:hAnsi="Book Antiqua" w:hint="eastAsia"/>
        <w:sz w:val="20"/>
        <w:szCs w:val="20"/>
        <w:lang w:eastAsia="zh-TW"/>
      </w:rPr>
      <w:t xml:space="preserve">    </w:t>
    </w:r>
    <w:r w:rsidRPr="00FB1728">
      <w:rPr>
        <w:rFonts w:ascii="Book Antiqua" w:eastAsia="標楷體" w:hAnsi="Book Antiqua"/>
        <w:sz w:val="20"/>
        <w:szCs w:val="20"/>
        <w:lang w:eastAsia="zh-TW"/>
      </w:rPr>
      <w:t xml:space="preserve">Tel : +886-4-26910213 </w:t>
    </w:r>
    <w:r>
      <w:rPr>
        <w:rFonts w:ascii="Book Antiqua" w:eastAsia="標楷體" w:hAnsi="Book Antiqua" w:hint="eastAsia"/>
        <w:sz w:val="20"/>
        <w:szCs w:val="20"/>
        <w:lang w:eastAsia="zh-TW"/>
      </w:rPr>
      <w:t xml:space="preserve"> </w:t>
    </w:r>
    <w:r w:rsidRPr="00FB1728">
      <w:rPr>
        <w:rFonts w:ascii="Book Antiqua" w:eastAsia="標楷體" w:hAnsi="Book Antiqua"/>
        <w:sz w:val="20"/>
        <w:szCs w:val="20"/>
        <w:lang w:eastAsia="zh-TW"/>
      </w:rPr>
      <w:t>Fax :+886-4-26917117</w:t>
    </w:r>
    <w:r w:rsidR="00843425">
      <w:rPr>
        <w:rFonts w:ascii="Book Antiqua" w:eastAsia="標楷體" w:hAnsi="Book Antiqua" w:cstheme="majorBidi"/>
        <w:sz w:val="20"/>
        <w:szCs w:val="20"/>
      </w:rPr>
      <w:pict>
        <v:rect id="_x0000_s1032" style="position:absolute;left:0;text-align:left;margin-left:0;margin-top:0;width:7.15pt;height:64pt;z-index:251663360;mso-height-percent:900;mso-position-horizontal:center;mso-position-horizontal-relative:right-margin-area;mso-position-vertical:top;mso-position-vertical-relative:page;mso-height-percent:900;mso-height-relative:top-margin-area" fillcolor="#7ba79d [3208]" strokecolor="#39564f [1608]">
          <w10:wrap anchorx="page" anchory="page"/>
        </v:rect>
      </w:pict>
    </w:r>
    <w:r w:rsidR="00843425">
      <w:rPr>
        <w:rFonts w:ascii="Book Antiqua" w:eastAsia="標楷體" w:hAnsi="Book Antiqua" w:cstheme="majorBidi"/>
        <w:sz w:val="20"/>
        <w:szCs w:val="20"/>
      </w:rPr>
      <w:pict>
        <v:rect id="_x0000_s1031" style="position:absolute;left:0;text-align:left;margin-left:0;margin-top:0;width:7.15pt;height:64pt;z-index:251662336;mso-height-percent:900;mso-position-horizontal:center;mso-position-horizontal-relative:left-margin-area;mso-position-vertical:top;mso-position-vertical-relative:page;mso-height-percent:900;mso-height-relative:top-margin-area" fillcolor="#7ba79d [3208]" strokecolor="#39564f [1608]">
          <w10:wrap anchorx="margin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C49C7"/>
    <w:multiLevelType w:val="hybridMultilevel"/>
    <w:tmpl w:val="4882F010"/>
    <w:lvl w:ilvl="0" w:tplc="3496ECA0">
      <w:start w:val="1"/>
      <w:numFmt w:val="bullet"/>
      <w:lvlText w:val="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C874596"/>
    <w:multiLevelType w:val="hybridMultilevel"/>
    <w:tmpl w:val="AD02D3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1B21115"/>
    <w:multiLevelType w:val="hybridMultilevel"/>
    <w:tmpl w:val="F7EA57B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6F1E31B2"/>
    <w:multiLevelType w:val="hybridMultilevel"/>
    <w:tmpl w:val="8580F8C6"/>
    <w:lvl w:ilvl="0" w:tplc="3496ECA0">
      <w:start w:val="1"/>
      <w:numFmt w:val="bullet"/>
      <w:lvlText w:val="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34818" style="mso-width-relative:margin;v-text-anchor:middle" strokecolor="none [3212]">
      <v:stroke color="none [3212]" weight="1pt"/>
      <v:shadow color="none [2732]" offset="3pt,3pt" offset2="2pt,2pt"/>
    </o:shapedefaults>
    <o:shapelayout v:ext="edit">
      <o:idmap v:ext="edit" data="1"/>
      <o:rules v:ext="edit">
        <o:r id="V:Rule3" type="connector" idref="#_x0000_s1039"/>
        <o:r id="V:Rule4" type="connector" idref="#_x0000_s1034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0B0A"/>
    <w:rsid w:val="0000679A"/>
    <w:rsid w:val="0001648A"/>
    <w:rsid w:val="0004567E"/>
    <w:rsid w:val="0009676C"/>
    <w:rsid w:val="000A02FA"/>
    <w:rsid w:val="000A154F"/>
    <w:rsid w:val="000A4924"/>
    <w:rsid w:val="000B57F9"/>
    <w:rsid w:val="000B67AA"/>
    <w:rsid w:val="000C3394"/>
    <w:rsid w:val="0011372A"/>
    <w:rsid w:val="00131953"/>
    <w:rsid w:val="001351D3"/>
    <w:rsid w:val="00135FFF"/>
    <w:rsid w:val="001448D2"/>
    <w:rsid w:val="00163550"/>
    <w:rsid w:val="0019396F"/>
    <w:rsid w:val="001963D5"/>
    <w:rsid w:val="001A66B8"/>
    <w:rsid w:val="001B750B"/>
    <w:rsid w:val="0023646D"/>
    <w:rsid w:val="002701E1"/>
    <w:rsid w:val="00272A65"/>
    <w:rsid w:val="002954F0"/>
    <w:rsid w:val="002B0DAF"/>
    <w:rsid w:val="002D4F4F"/>
    <w:rsid w:val="002D7542"/>
    <w:rsid w:val="002F34E4"/>
    <w:rsid w:val="002F7CB9"/>
    <w:rsid w:val="00326DDB"/>
    <w:rsid w:val="00330B38"/>
    <w:rsid w:val="0036231A"/>
    <w:rsid w:val="003953FC"/>
    <w:rsid w:val="003B1FB7"/>
    <w:rsid w:val="00413539"/>
    <w:rsid w:val="00437D38"/>
    <w:rsid w:val="00451DB2"/>
    <w:rsid w:val="004C10B6"/>
    <w:rsid w:val="005059AF"/>
    <w:rsid w:val="0054236A"/>
    <w:rsid w:val="00550ECB"/>
    <w:rsid w:val="00575631"/>
    <w:rsid w:val="005D15C6"/>
    <w:rsid w:val="005D619D"/>
    <w:rsid w:val="005E5529"/>
    <w:rsid w:val="0061756F"/>
    <w:rsid w:val="00623BB6"/>
    <w:rsid w:val="0064175C"/>
    <w:rsid w:val="0064307E"/>
    <w:rsid w:val="00657A57"/>
    <w:rsid w:val="00684B23"/>
    <w:rsid w:val="00696E42"/>
    <w:rsid w:val="006A3DB0"/>
    <w:rsid w:val="006A40E2"/>
    <w:rsid w:val="006B3B48"/>
    <w:rsid w:val="006C0FE1"/>
    <w:rsid w:val="006C7B23"/>
    <w:rsid w:val="006D5298"/>
    <w:rsid w:val="006E080D"/>
    <w:rsid w:val="006E5B08"/>
    <w:rsid w:val="00710310"/>
    <w:rsid w:val="007169AB"/>
    <w:rsid w:val="00730B0A"/>
    <w:rsid w:val="007623BA"/>
    <w:rsid w:val="007931B2"/>
    <w:rsid w:val="007A59DC"/>
    <w:rsid w:val="007C209F"/>
    <w:rsid w:val="007C483C"/>
    <w:rsid w:val="007C7F2E"/>
    <w:rsid w:val="007F069A"/>
    <w:rsid w:val="0084328A"/>
    <w:rsid w:val="00843425"/>
    <w:rsid w:val="0085417C"/>
    <w:rsid w:val="00864EBF"/>
    <w:rsid w:val="008E1A2F"/>
    <w:rsid w:val="009220E5"/>
    <w:rsid w:val="009260AC"/>
    <w:rsid w:val="00973FC7"/>
    <w:rsid w:val="009745B8"/>
    <w:rsid w:val="009A3490"/>
    <w:rsid w:val="009D215C"/>
    <w:rsid w:val="009D633C"/>
    <w:rsid w:val="00A01FBB"/>
    <w:rsid w:val="00A17B26"/>
    <w:rsid w:val="00A22811"/>
    <w:rsid w:val="00A345AA"/>
    <w:rsid w:val="00A35179"/>
    <w:rsid w:val="00A835E8"/>
    <w:rsid w:val="00A926FC"/>
    <w:rsid w:val="00A97731"/>
    <w:rsid w:val="00AA517F"/>
    <w:rsid w:val="00AA533D"/>
    <w:rsid w:val="00AA7120"/>
    <w:rsid w:val="00AB0A6D"/>
    <w:rsid w:val="00AD68A3"/>
    <w:rsid w:val="00B03011"/>
    <w:rsid w:val="00B16B36"/>
    <w:rsid w:val="00B43499"/>
    <w:rsid w:val="00B657BC"/>
    <w:rsid w:val="00B93FE7"/>
    <w:rsid w:val="00BB4EAC"/>
    <w:rsid w:val="00BD2D6F"/>
    <w:rsid w:val="00BE01C7"/>
    <w:rsid w:val="00BE3803"/>
    <w:rsid w:val="00BE6039"/>
    <w:rsid w:val="00BF1C60"/>
    <w:rsid w:val="00C01D68"/>
    <w:rsid w:val="00CE1915"/>
    <w:rsid w:val="00CE2565"/>
    <w:rsid w:val="00D0740F"/>
    <w:rsid w:val="00D07BAF"/>
    <w:rsid w:val="00D23D3C"/>
    <w:rsid w:val="00D26FD0"/>
    <w:rsid w:val="00D34A54"/>
    <w:rsid w:val="00D922D1"/>
    <w:rsid w:val="00DB72FC"/>
    <w:rsid w:val="00E04334"/>
    <w:rsid w:val="00E16D28"/>
    <w:rsid w:val="00E209BD"/>
    <w:rsid w:val="00E5770D"/>
    <w:rsid w:val="00E7106B"/>
    <w:rsid w:val="00E738A8"/>
    <w:rsid w:val="00EA6D04"/>
    <w:rsid w:val="00EB0ECF"/>
    <w:rsid w:val="00EC36D1"/>
    <w:rsid w:val="00F57FBF"/>
    <w:rsid w:val="00FB1728"/>
    <w:rsid w:val="00FC08E2"/>
    <w:rsid w:val="00FC6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 style="mso-width-relative:margin;v-text-anchor:middle" strokecolor="none [3212]">
      <v:stroke color="none [3212]" weight="1pt"/>
      <v:shadow color="none [2732]" offset="3pt,3pt" offset2="2pt,2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B0A"/>
  </w:style>
  <w:style w:type="paragraph" w:styleId="1">
    <w:name w:val="heading 1"/>
    <w:basedOn w:val="a"/>
    <w:next w:val="a"/>
    <w:link w:val="10"/>
    <w:uiPriority w:val="9"/>
    <w:qFormat/>
    <w:rsid w:val="00730B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48AB7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B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4B6D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B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4B6D2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B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4B6D2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B0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45C7D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B0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45C7D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B0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B0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94B6D2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B0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0B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0B0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0B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0B0A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730B0A"/>
    <w:rPr>
      <w:rFonts w:asciiTheme="majorHAnsi" w:eastAsiaTheme="majorEastAsia" w:hAnsiTheme="majorHAnsi" w:cstheme="majorBidi"/>
      <w:b/>
      <w:bCs/>
      <w:color w:val="548AB7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semiHidden/>
    <w:rsid w:val="00730B0A"/>
    <w:rPr>
      <w:rFonts w:asciiTheme="majorHAnsi" w:eastAsiaTheme="majorEastAsia" w:hAnsiTheme="majorHAnsi" w:cstheme="majorBidi"/>
      <w:b/>
      <w:bCs/>
      <w:color w:val="94B6D2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sid w:val="00730B0A"/>
    <w:rPr>
      <w:rFonts w:asciiTheme="majorHAnsi" w:eastAsiaTheme="majorEastAsia" w:hAnsiTheme="majorHAnsi" w:cstheme="majorBidi"/>
      <w:b/>
      <w:bCs/>
      <w:color w:val="94B6D2" w:themeColor="accent1"/>
    </w:rPr>
  </w:style>
  <w:style w:type="character" w:customStyle="1" w:styleId="40">
    <w:name w:val="標題 4 字元"/>
    <w:basedOn w:val="a0"/>
    <w:link w:val="4"/>
    <w:uiPriority w:val="9"/>
    <w:rsid w:val="00730B0A"/>
    <w:rPr>
      <w:rFonts w:asciiTheme="majorHAnsi" w:eastAsiaTheme="majorEastAsia" w:hAnsiTheme="majorHAnsi" w:cstheme="majorBidi"/>
      <w:b/>
      <w:bCs/>
      <w:i/>
      <w:iCs/>
      <w:color w:val="94B6D2" w:themeColor="accent1"/>
    </w:rPr>
  </w:style>
  <w:style w:type="character" w:customStyle="1" w:styleId="50">
    <w:name w:val="標題 5 字元"/>
    <w:basedOn w:val="a0"/>
    <w:link w:val="5"/>
    <w:uiPriority w:val="9"/>
    <w:rsid w:val="00730B0A"/>
    <w:rPr>
      <w:rFonts w:asciiTheme="majorHAnsi" w:eastAsiaTheme="majorEastAsia" w:hAnsiTheme="majorHAnsi" w:cstheme="majorBidi"/>
      <w:color w:val="345C7D" w:themeColor="accent1" w:themeShade="7F"/>
    </w:rPr>
  </w:style>
  <w:style w:type="character" w:customStyle="1" w:styleId="60">
    <w:name w:val="標題 6 字元"/>
    <w:basedOn w:val="a0"/>
    <w:link w:val="6"/>
    <w:uiPriority w:val="9"/>
    <w:rsid w:val="00730B0A"/>
    <w:rPr>
      <w:rFonts w:asciiTheme="majorHAnsi" w:eastAsiaTheme="majorEastAsia" w:hAnsiTheme="majorHAnsi" w:cstheme="majorBidi"/>
      <w:i/>
      <w:iCs/>
      <w:color w:val="345C7D" w:themeColor="accent1" w:themeShade="7F"/>
    </w:rPr>
  </w:style>
  <w:style w:type="character" w:customStyle="1" w:styleId="70">
    <w:name w:val="標題 7 字元"/>
    <w:basedOn w:val="a0"/>
    <w:link w:val="7"/>
    <w:uiPriority w:val="9"/>
    <w:rsid w:val="00730B0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sid w:val="00730B0A"/>
    <w:rPr>
      <w:rFonts w:asciiTheme="majorHAnsi" w:eastAsiaTheme="majorEastAsia" w:hAnsiTheme="majorHAnsi" w:cstheme="majorBidi"/>
      <w:color w:val="94B6D2" w:themeColor="accent1"/>
      <w:sz w:val="20"/>
      <w:szCs w:val="20"/>
    </w:rPr>
  </w:style>
  <w:style w:type="character" w:customStyle="1" w:styleId="90">
    <w:name w:val="標題 9 字元"/>
    <w:basedOn w:val="a0"/>
    <w:link w:val="9"/>
    <w:uiPriority w:val="9"/>
    <w:rsid w:val="00730B0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730B0A"/>
    <w:pPr>
      <w:spacing w:line="240" w:lineRule="auto"/>
    </w:pPr>
    <w:rPr>
      <w:b/>
      <w:bCs/>
      <w:color w:val="94B6D2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730B0A"/>
    <w:pPr>
      <w:pBdr>
        <w:bottom w:val="single" w:sz="8" w:space="4" w:color="94B6D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59473F" w:themeColor="text2" w:themeShade="BF"/>
      <w:spacing w:val="5"/>
      <w:kern w:val="28"/>
      <w:sz w:val="52"/>
      <w:szCs w:val="52"/>
    </w:rPr>
  </w:style>
  <w:style w:type="character" w:customStyle="1" w:styleId="a9">
    <w:name w:val="標題 字元"/>
    <w:basedOn w:val="a0"/>
    <w:link w:val="a8"/>
    <w:uiPriority w:val="10"/>
    <w:rsid w:val="00730B0A"/>
    <w:rPr>
      <w:rFonts w:asciiTheme="majorHAnsi" w:eastAsiaTheme="majorEastAsia" w:hAnsiTheme="majorHAnsi" w:cstheme="majorBidi"/>
      <w:color w:val="59473F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730B0A"/>
    <w:pPr>
      <w:numPr>
        <w:ilvl w:val="1"/>
      </w:numPr>
    </w:pPr>
    <w:rPr>
      <w:rFonts w:asciiTheme="majorHAnsi" w:eastAsiaTheme="majorEastAsia" w:hAnsiTheme="majorHAnsi" w:cstheme="majorBidi"/>
      <w:i/>
      <w:iCs/>
      <w:color w:val="94B6D2" w:themeColor="accent1"/>
      <w:spacing w:val="15"/>
      <w:sz w:val="24"/>
      <w:szCs w:val="24"/>
    </w:rPr>
  </w:style>
  <w:style w:type="character" w:customStyle="1" w:styleId="ab">
    <w:name w:val="副標題 字元"/>
    <w:basedOn w:val="a0"/>
    <w:link w:val="aa"/>
    <w:uiPriority w:val="11"/>
    <w:rsid w:val="00730B0A"/>
    <w:rPr>
      <w:rFonts w:asciiTheme="majorHAnsi" w:eastAsiaTheme="majorEastAsia" w:hAnsiTheme="majorHAnsi" w:cstheme="majorBidi"/>
      <w:i/>
      <w:iCs/>
      <w:color w:val="94B6D2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730B0A"/>
    <w:rPr>
      <w:b/>
      <w:bCs/>
    </w:rPr>
  </w:style>
  <w:style w:type="character" w:styleId="ad">
    <w:name w:val="Emphasis"/>
    <w:basedOn w:val="a0"/>
    <w:uiPriority w:val="20"/>
    <w:qFormat/>
    <w:rsid w:val="00730B0A"/>
    <w:rPr>
      <w:i/>
      <w:iCs/>
    </w:rPr>
  </w:style>
  <w:style w:type="paragraph" w:styleId="ae">
    <w:name w:val="No Spacing"/>
    <w:uiPriority w:val="1"/>
    <w:qFormat/>
    <w:rsid w:val="00730B0A"/>
    <w:pPr>
      <w:spacing w:after="0" w:line="240" w:lineRule="auto"/>
    </w:pPr>
  </w:style>
  <w:style w:type="paragraph" w:styleId="af">
    <w:name w:val="List Paragraph"/>
    <w:basedOn w:val="a"/>
    <w:uiPriority w:val="36"/>
    <w:qFormat/>
    <w:rsid w:val="00730B0A"/>
    <w:pPr>
      <w:ind w:left="720"/>
      <w:contextualSpacing/>
    </w:pPr>
  </w:style>
  <w:style w:type="paragraph" w:styleId="af0">
    <w:name w:val="Quote"/>
    <w:basedOn w:val="a"/>
    <w:next w:val="a"/>
    <w:link w:val="af1"/>
    <w:uiPriority w:val="29"/>
    <w:qFormat/>
    <w:rsid w:val="00730B0A"/>
    <w:rPr>
      <w:i/>
      <w:iCs/>
      <w:color w:val="000000" w:themeColor="text1"/>
    </w:rPr>
  </w:style>
  <w:style w:type="character" w:customStyle="1" w:styleId="af1">
    <w:name w:val="引文 字元"/>
    <w:basedOn w:val="a0"/>
    <w:link w:val="af0"/>
    <w:uiPriority w:val="29"/>
    <w:rsid w:val="00730B0A"/>
    <w:rPr>
      <w:i/>
      <w:iCs/>
      <w:color w:val="000000" w:themeColor="text1"/>
    </w:rPr>
  </w:style>
  <w:style w:type="paragraph" w:styleId="af2">
    <w:name w:val="Intense Quote"/>
    <w:basedOn w:val="a"/>
    <w:next w:val="a"/>
    <w:link w:val="af3"/>
    <w:uiPriority w:val="30"/>
    <w:qFormat/>
    <w:rsid w:val="00730B0A"/>
    <w:pPr>
      <w:pBdr>
        <w:bottom w:val="single" w:sz="4" w:space="4" w:color="94B6D2" w:themeColor="accent1"/>
      </w:pBdr>
      <w:spacing w:before="200" w:after="280"/>
      <w:ind w:left="936" w:right="936"/>
    </w:pPr>
    <w:rPr>
      <w:b/>
      <w:bCs/>
      <w:i/>
      <w:iCs/>
      <w:color w:val="94B6D2" w:themeColor="accent1"/>
    </w:rPr>
  </w:style>
  <w:style w:type="character" w:customStyle="1" w:styleId="af3">
    <w:name w:val="鮮明引文 字元"/>
    <w:basedOn w:val="a0"/>
    <w:link w:val="af2"/>
    <w:uiPriority w:val="30"/>
    <w:rsid w:val="00730B0A"/>
    <w:rPr>
      <w:b/>
      <w:bCs/>
      <w:i/>
      <w:iCs/>
      <w:color w:val="94B6D2" w:themeColor="accent1"/>
    </w:rPr>
  </w:style>
  <w:style w:type="character" w:styleId="af4">
    <w:name w:val="Subtle Emphasis"/>
    <w:basedOn w:val="a0"/>
    <w:uiPriority w:val="19"/>
    <w:qFormat/>
    <w:rsid w:val="00730B0A"/>
    <w:rPr>
      <w:i/>
      <w:iCs/>
      <w:color w:val="808080" w:themeColor="text1" w:themeTint="7F"/>
    </w:rPr>
  </w:style>
  <w:style w:type="character" w:styleId="af5">
    <w:name w:val="Intense Emphasis"/>
    <w:basedOn w:val="a0"/>
    <w:uiPriority w:val="21"/>
    <w:qFormat/>
    <w:rsid w:val="00730B0A"/>
    <w:rPr>
      <w:b/>
      <w:bCs/>
      <w:i/>
      <w:iCs/>
      <w:color w:val="94B6D2" w:themeColor="accent1"/>
    </w:rPr>
  </w:style>
  <w:style w:type="character" w:styleId="af6">
    <w:name w:val="Subtle Reference"/>
    <w:basedOn w:val="a0"/>
    <w:uiPriority w:val="31"/>
    <w:qFormat/>
    <w:rsid w:val="00730B0A"/>
    <w:rPr>
      <w:smallCaps/>
      <w:color w:val="DD8047" w:themeColor="accent2"/>
      <w:u w:val="single"/>
    </w:rPr>
  </w:style>
  <w:style w:type="character" w:styleId="af7">
    <w:name w:val="Intense Reference"/>
    <w:basedOn w:val="a0"/>
    <w:uiPriority w:val="32"/>
    <w:qFormat/>
    <w:rsid w:val="00730B0A"/>
    <w:rPr>
      <w:b/>
      <w:bCs/>
      <w:smallCaps/>
      <w:color w:val="DD8047" w:themeColor="accent2"/>
      <w:spacing w:val="5"/>
      <w:u w:val="single"/>
    </w:rPr>
  </w:style>
  <w:style w:type="character" w:styleId="af8">
    <w:name w:val="Book Title"/>
    <w:basedOn w:val="a0"/>
    <w:uiPriority w:val="33"/>
    <w:qFormat/>
    <w:rsid w:val="00730B0A"/>
    <w:rPr>
      <w:b/>
      <w:bCs/>
      <w:smallCaps/>
      <w:spacing w:val="5"/>
    </w:rPr>
  </w:style>
  <w:style w:type="paragraph" w:styleId="af9">
    <w:name w:val="TOC Heading"/>
    <w:basedOn w:val="1"/>
    <w:next w:val="a"/>
    <w:uiPriority w:val="39"/>
    <w:semiHidden/>
    <w:unhideWhenUsed/>
    <w:qFormat/>
    <w:rsid w:val="00730B0A"/>
    <w:pPr>
      <w:outlineLvl w:val="9"/>
    </w:pPr>
  </w:style>
  <w:style w:type="character" w:styleId="afa">
    <w:name w:val="Placeholder Text"/>
    <w:basedOn w:val="a0"/>
    <w:uiPriority w:val="99"/>
    <w:semiHidden/>
    <w:rsid w:val="0036231A"/>
    <w:rPr>
      <w:color w:val="808080"/>
    </w:rPr>
  </w:style>
  <w:style w:type="paragraph" w:styleId="afb">
    <w:name w:val="Balloon Text"/>
    <w:basedOn w:val="a"/>
    <w:link w:val="afc"/>
    <w:uiPriority w:val="99"/>
    <w:semiHidden/>
    <w:unhideWhenUsed/>
    <w:rsid w:val="0036231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註解方塊文字 字元"/>
    <w:basedOn w:val="a0"/>
    <w:link w:val="afb"/>
    <w:uiPriority w:val="99"/>
    <w:semiHidden/>
    <w:rsid w:val="003623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a0"/>
    <w:rsid w:val="00E209BD"/>
  </w:style>
  <w:style w:type="table" w:styleId="afd">
    <w:name w:val="Table Grid"/>
    <w:basedOn w:val="a1"/>
    <w:uiPriority w:val="59"/>
    <w:rsid w:val="00D34A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Hyperlink"/>
    <w:basedOn w:val="a0"/>
    <w:uiPriority w:val="99"/>
    <w:unhideWhenUsed/>
    <w:rsid w:val="00E04334"/>
    <w:rPr>
      <w:color w:val="0000FF"/>
      <w:u w:val="single"/>
    </w:rPr>
  </w:style>
  <w:style w:type="paragraph" w:customStyle="1" w:styleId="aff">
    <w:name w:val="樣式"/>
    <w:rsid w:val="00B93FE7"/>
    <w:pPr>
      <w:widowControl w:val="0"/>
      <w:autoSpaceDE w:val="0"/>
      <w:autoSpaceDN w:val="0"/>
      <w:adjustRightInd w:val="0"/>
      <w:spacing w:after="0" w:line="240" w:lineRule="auto"/>
    </w:pPr>
    <w:rPr>
      <w:rFonts w:ascii="PMingLiU" w:hAnsi="PMingLiU" w:cs="PMingLiU"/>
      <w:sz w:val="24"/>
      <w:szCs w:val="24"/>
      <w:lang w:eastAsia="zh-TW" w:bidi="ar-SA"/>
    </w:rPr>
  </w:style>
  <w:style w:type="paragraph" w:styleId="Web">
    <w:name w:val="Normal (Web)"/>
    <w:basedOn w:val="a"/>
    <w:uiPriority w:val="99"/>
    <w:rsid w:val="00864EBF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  <w:lang w:eastAsia="zh-TW" w:bidi="ar-SA"/>
    </w:rPr>
  </w:style>
  <w:style w:type="paragraph" w:customStyle="1" w:styleId="CM15">
    <w:name w:val="CM15"/>
    <w:basedOn w:val="a"/>
    <w:next w:val="a"/>
    <w:uiPriority w:val="99"/>
    <w:rsid w:val="0064307E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/>
      <w:sz w:val="24"/>
      <w:szCs w:val="24"/>
      <w:lang w:eastAsia="zh-TW" w:bidi="ar-SA"/>
    </w:rPr>
  </w:style>
  <w:style w:type="paragraph" w:customStyle="1" w:styleId="CM18">
    <w:name w:val="CM18"/>
    <w:basedOn w:val="a"/>
    <w:next w:val="a"/>
    <w:uiPriority w:val="99"/>
    <w:rsid w:val="0064307E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/>
      <w:sz w:val="24"/>
      <w:szCs w:val="24"/>
      <w:lang w:eastAsia="zh-TW" w:bidi="ar-SA"/>
    </w:rPr>
  </w:style>
  <w:style w:type="paragraph" w:customStyle="1" w:styleId="CM13">
    <w:name w:val="CM13"/>
    <w:basedOn w:val="a"/>
    <w:next w:val="a"/>
    <w:uiPriority w:val="99"/>
    <w:rsid w:val="0064307E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/>
      <w:sz w:val="24"/>
      <w:szCs w:val="24"/>
      <w:lang w:eastAsia="zh-TW" w:bidi="ar-SA"/>
    </w:rPr>
  </w:style>
  <w:style w:type="paragraph" w:customStyle="1" w:styleId="CM1">
    <w:name w:val="CM1"/>
    <w:basedOn w:val="a"/>
    <w:next w:val="a"/>
    <w:uiPriority w:val="99"/>
    <w:rsid w:val="0064307E"/>
    <w:pPr>
      <w:widowControl w:val="0"/>
      <w:autoSpaceDE w:val="0"/>
      <w:autoSpaceDN w:val="0"/>
      <w:adjustRightInd w:val="0"/>
      <w:spacing w:after="0" w:line="360" w:lineRule="atLeast"/>
    </w:pPr>
    <w:rPr>
      <w:rFonts w:ascii="Cambria" w:hAnsi="Cambria"/>
      <w:sz w:val="24"/>
      <w:szCs w:val="24"/>
      <w:lang w:eastAsia="zh-TW" w:bidi="ar-SA"/>
    </w:rPr>
  </w:style>
  <w:style w:type="paragraph" w:customStyle="1" w:styleId="CM17">
    <w:name w:val="CM17"/>
    <w:basedOn w:val="a"/>
    <w:next w:val="a"/>
    <w:uiPriority w:val="99"/>
    <w:rsid w:val="0064307E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/>
      <w:sz w:val="24"/>
      <w:szCs w:val="24"/>
      <w:lang w:eastAsia="zh-TW" w:bidi="ar-SA"/>
    </w:rPr>
  </w:style>
  <w:style w:type="paragraph" w:customStyle="1" w:styleId="Default">
    <w:name w:val="Default"/>
    <w:rsid w:val="0064307E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eastAsia="zh-TW" w:bidi="ar-SA"/>
    </w:rPr>
  </w:style>
  <w:style w:type="paragraph" w:customStyle="1" w:styleId="CM21">
    <w:name w:val="CM21"/>
    <w:basedOn w:val="Default"/>
    <w:next w:val="Default"/>
    <w:uiPriority w:val="99"/>
    <w:rsid w:val="0064307E"/>
    <w:rPr>
      <w:rFonts w:cstheme="minorBidi"/>
      <w:color w:val="auto"/>
    </w:rPr>
  </w:style>
  <w:style w:type="table" w:styleId="-5">
    <w:name w:val="Light Grid Accent 5"/>
    <w:basedOn w:val="a1"/>
    <w:uiPriority w:val="62"/>
    <w:rsid w:val="001448D2"/>
    <w:pPr>
      <w:spacing w:after="0" w:line="240" w:lineRule="auto"/>
    </w:pPr>
    <w:rPr>
      <w:kern w:val="2"/>
      <w:sz w:val="24"/>
      <w:lang w:eastAsia="zh-TW" w:bidi="ar-SA"/>
    </w:rPr>
    <w:tblPr>
      <w:tblStyleRowBandSize w:val="1"/>
      <w:tblStyleColBandSize w:val="1"/>
      <w:tblInd w:w="0" w:type="dxa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1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  <w:shd w:val="clear" w:color="auto" w:fill="DEE9E6" w:themeFill="accent5" w:themeFillTint="3F"/>
      </w:tcPr>
    </w:tblStylePr>
    <w:tblStylePr w:type="band2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International_standard" TargetMode="External"/><Relationship Id="rId13" Type="http://schemas.openxmlformats.org/officeDocument/2006/relationships/hyperlink" Target="http://en.wikipedia.org/wiki/File:TN-S-earthing.svg" TargetMode="External"/><Relationship Id="rId18" Type="http://schemas.openxmlformats.org/officeDocument/2006/relationships/image" Target="media/image3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en.wikipedia.org/wiki/File:IT-earthing.sv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n.wikipedia.org/wiki/Single-phase" TargetMode="External"/><Relationship Id="rId17" Type="http://schemas.openxmlformats.org/officeDocument/2006/relationships/hyperlink" Target="http://en.wikipedia.org/wiki/File:TN-C-S-earthing.svg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yperlink" Target="http://en.wikipedia.org/wiki/Insulation_Monitoring_Devic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n.wikipedia.org/wiki/Three-phase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en.wikipedia.org/wiki/File:TN-C-earthing.svg" TargetMode="External"/><Relationship Id="rId23" Type="http://schemas.openxmlformats.org/officeDocument/2006/relationships/header" Target="header1.xml"/><Relationship Id="rId10" Type="http://schemas.openxmlformats.org/officeDocument/2006/relationships/hyperlink" Target="http://en.wikipedia.org/wiki/Ground_(electricity)" TargetMode="External"/><Relationship Id="rId19" Type="http://schemas.openxmlformats.org/officeDocument/2006/relationships/hyperlink" Target="http://en.wikipedia.org/wiki/Electrical_impedanc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n.wikipedia.org/wiki/IEC_60364" TargetMode="External"/><Relationship Id="rId14" Type="http://schemas.openxmlformats.org/officeDocument/2006/relationships/image" Target="media/image1.png"/><Relationship Id="rId22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中庸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台中市大肚區遊園路二段43號1樓                  1F. No.43, Sec. 2, Youyuan Rd., Dadu Dist., Taichung City 432, Taiwan                      Tel : +886-4-26910213  Fax : +886-4-26917117  </CompanyAddress>
  <CompanyPhone>Tel : +886-4-26910213</CompanyPhone>
  <CompanyFax>  Fax : +886-4-26917117</CompanyFax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344</Words>
  <Characters>1961</Characters>
  <Application>Microsoft Office Word</Application>
  <DocSecurity>0</DocSecurity>
  <Lines>16</Lines>
  <Paragraphs>4</Paragraphs>
  <ScaleCrop>false</ScaleCrop>
  <Company>坤展國際安全驗證有限公司  K. J. Certification Co. Ltd.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</dc:creator>
  <cp:lastModifiedBy>林建廷</cp:lastModifiedBy>
  <cp:revision>4</cp:revision>
  <cp:lastPrinted>2013-07-12T15:34:00Z</cp:lastPrinted>
  <dcterms:created xsi:type="dcterms:W3CDTF">2013-09-05T06:44:00Z</dcterms:created>
  <dcterms:modified xsi:type="dcterms:W3CDTF">2013-09-05T06:58:00Z</dcterms:modified>
</cp:coreProperties>
</file>